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SZERZŐDÉSTŐL VALÓ ELÁLLÁSI FORMANYOMTATVÁNY MONIEL.CZ</w:t>
      </w:r>
      <w:r>
        <w:rPr>
          <w:rFonts w:asciiTheme="minorHAnsi" w:hAnsiTheme="minorHAnsi" w:cstheme="minorHAnsi"/>
          <w:b/>
          <w:caps/>
          <w:sz w:val="20"/>
          <w:szCs w:val="20"/>
        </w:rPr>
      </w:r>
      <w:r w:rsidR="00D05D0A">
        <w:rPr>
          <w:rFonts w:asciiTheme="minorHAnsi" w:hAnsiTheme="minorHAnsi" w:cstheme="minorHAnsi"/>
          <w:b/>
          <w:caps/>
          <w:sz w:val="20"/>
          <w:szCs w:val="20"/>
        </w:rPr>
      </w:r>
      <w:r>
        <w:rPr>
          <w:rFonts w:asciiTheme="minorHAnsi" w:hAnsiTheme="minorHAnsi" w:cstheme="minorHAnsi"/>
          <w:b/>
          <w:caps/>
          <w:sz w:val="20"/>
          <w:szCs w:val="20"/>
        </w:rPr>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Címzett: Moniel s.r.o., Do Čertous 2760/10, Praha 9 - Horní Počernice, 193 00. E-mail: zakaznici@moniel.cz, futár részére megadott telefonszám: +420 702 161 512.</w:t>
      </w:r>
      <w:proofErr w:type="spellStart"/>
      <w:r w:rsidR="00D05D0A">
        <w:rPr>
          <w:rStyle w:val="Siln"/>
          <w:rFonts w:asciiTheme="minorHAnsi" w:hAnsiTheme="minorHAnsi" w:cstheme="minorHAnsi"/>
          <w:sz w:val="20"/>
          <w:szCs w:val="20"/>
        </w:rPr>
      </w:r>
      <w:proofErr w:type="spellEnd"/>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roofErr w:type="spellStart"/>
      <w:r w:rsidRPr="003E5F83">
        <w:rPr>
          <w:rStyle w:val="Siln"/>
          <w:rFonts w:asciiTheme="minorHAnsi" w:hAnsiTheme="minorHAnsi" w:cstheme="minorHAnsi"/>
          <w:sz w:val="20"/>
          <w:szCs w:val="20"/>
        </w:rPr>
      </w:r>
      <w:proofErr w:type="spellEnd"/>
      <w:r w:rsidRPr="003E5F83">
        <w:rPr>
          <w:rStyle w:val="Siln"/>
          <w:rFonts w:asciiTheme="minorHAnsi" w:hAnsiTheme="minorHAnsi" w:cstheme="minorHAnsi"/>
          <w:sz w:val="20"/>
          <w:szCs w:val="20"/>
        </w:rPr>
      </w:r>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Ezennel kijelentem, hogy elállok a Szerződéstől:</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 Szerződés megkötésének dátuma:</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Név és vezetéknév:</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Cím:</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E-mail-cím:</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 Szerződés tárgyát képező Áru meghatározása:</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 kapott pénzösszegek visszatérítésének módja, illetve bankszámlaszám megadása:</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Ha a vevő fogyasztó, jogosult arra, hogy amennyiben az árut a Smart Property s.r.o. társaság („Társaság”) webáruházán keresztül vagy más távközlési eszköz útján rendelte meg, a 89/2012. sz. törvény, a Polgári Törvénykönyv, hatályos szövegének 1837. §-ában meghatározott esetek kivételével, az áru átvételének napjától számított 14 napon belül indokolás nélkül és bármilyen szankció nélkül elálljon a már megkötött adásvételi szerződéstől. A vevő az elállást írásban jelenti be a Társaságnak a Társaság telephelyének címére, vagy elektronikus úton a mintanyomtatványon feltüntetett e-mail-címre. </w:t>
      </w:r>
      <w:r>
        <w:rPr>
          <w:rFonts w:ascii="Calibri" w:eastAsia="Calibri" w:hAnsi="Calibri" w:cs="Calibri"/>
          <w:sz w:val="20"/>
          <w:szCs w:val="20"/>
        </w:rPr>
      </w:r>
      <w:proofErr w:type="spellStart"/>
      <w:r>
        <w:rPr>
          <w:rFonts w:ascii="Calibri" w:eastAsia="Calibri" w:hAnsi="Calibri" w:cs="Calibri"/>
          <w:sz w:val="20"/>
          <w:szCs w:val="20"/>
        </w:rPr>
      </w:r>
      <w:proofErr w:type="spellEnd"/>
      <w:r>
        <w:rPr>
          <w:rFonts w:ascii="Calibri" w:eastAsia="Calibri" w:hAnsi="Calibri" w:cs="Calibri"/>
          <w:sz w:val="20"/>
          <w:szCs w:val="20"/>
        </w:rPr>
      </w:r>
      <w:r w:rsidRPr="65D8E472">
        <w:rPr>
          <w:rFonts w:ascii="Calibri" w:eastAsia="Calibri" w:hAnsi="Calibri" w:cs="Calibri"/>
          <w:sz w:val="20"/>
          <w:szCs w:val="20"/>
        </w:rPr>
      </w:r>
      <w:r w:rsidRPr="65D8E472">
        <w:rPr>
          <w:rFonts w:ascii="Calibri" w:eastAsia="Calibri" w:hAnsi="Calibri" w:cs="Calibri"/>
          <w:b/>
          <w:bCs/>
          <w:sz w:val="20"/>
          <w:szCs w:val="20"/>
        </w:rPr>
      </w:r>
      <w:r w:rsidRPr="65D8E472">
        <w:rPr>
          <w:rFonts w:ascii="Calibri" w:eastAsia="Calibri" w:hAnsi="Calibri" w:cs="Calibri"/>
          <w:sz w:val="20"/>
          <w:szCs w:val="20"/>
        </w:rPr>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Ha a fogyasztónak minősülő vevő eláll az adásvételi szerződéstől, indokolatlan késedelem nélkül, de legkésőbb az adásvételi szerződéstől való elállástól számított 14 napon belül megküldi vagy átadja a Társaságnak az általa kapott árut.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Ha a fogyasztónak minősülő vevő eláll az adásvételi szerződéstől, a Társaság indokolatlan késedelem nélkül, de legkésőbb az adásvételi szerződéstől való elállástól számított 14 napon belül ugyanolyan módon visszatéríti számára az adásvételi szerződés alapján tőle kapott valamennyi pénzösszeget (a leszállított áru vételárát), beleértve a szállítási költségeket is. Ha a vevő a Társaság által kínált legolcsóbb szállítási módtól eltérő szállítási módot választott, a Társaság a szállítási költséget csak a legolcsóbb kínált szállítási módnak megfelelő összegben téríti vissza. A Társaság nem köteles a kapott pénzösszegeket visszatéríteni a vevőnek mindaddig, amíg a vevő az árut át nem adja neki, vagy nem igazolja, hogy az árut elküldte a Társaságnak.</w:t>
      </w:r>
      <w:proofErr w:type="gramStart"/>
      <w:r w:rsidRPr="65D8E472">
        <w:rPr>
          <w:rFonts w:ascii="Calibri" w:eastAsia="Calibri" w:hAnsi="Calibri" w:cs="Calibri"/>
          <w:sz w:val="20"/>
          <w:szCs w:val="20"/>
        </w:rPr>
      </w:r>
      <w:proofErr w:type="gramEnd"/>
      <w:r w:rsidRPr="65D8E472">
        <w:rPr>
          <w:rFonts w:ascii="Calibri" w:eastAsia="Calibri" w:hAnsi="Calibri" w:cs="Calibri"/>
          <w:sz w:val="20"/>
          <w:szCs w:val="20"/>
        </w:rPr>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Dátum:</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Aláírás:</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